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  <w:r w:rsidRPr="00FC75FF">
        <w:rPr>
          <w:rFonts w:ascii="Arial" w:hAnsi="Arial" w:cs="Arial"/>
          <w:sz w:val="18"/>
          <w:szCs w:val="18"/>
          <w:lang w:eastAsia="pl-PL"/>
        </w:rPr>
        <w:t>The basis for the selection of partners are the similarities in programmes of study. Our Erasmus partners range from huge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state universities (Bratislava, Plzen), to smaller institutions of higher education specialising in economics (Klaipeda,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Kolding, Lisbon, Madrid, Mittweida, Nigde, Prague, Riga), tourism and recreation (Kaunas, Las Palmas, Lisbon, Telemark,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Riga), computer science (Kaunas, Klaipeda, Mittweida), journalism (Lisbon), medical sciences (Barcelona, Madrid, Martin,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Trencin) and law (Barcelona, Kaunas, Madrid). The main objective of our international activities on this field is providing</w:t>
      </w:r>
      <w:r>
        <w:rPr>
          <w:rFonts w:ascii="Arial" w:hAnsi="Arial" w:cs="Arial"/>
          <w:sz w:val="18"/>
          <w:szCs w:val="18"/>
          <w:lang w:eastAsia="pl-PL"/>
        </w:rPr>
        <w:t xml:space="preserve">  </w:t>
      </w:r>
      <w:r w:rsidRPr="00FC75FF">
        <w:rPr>
          <w:rFonts w:ascii="Arial" w:hAnsi="Arial" w:cs="Arial"/>
          <w:sz w:val="18"/>
          <w:szCs w:val="18"/>
          <w:lang w:eastAsia="pl-PL"/>
        </w:rPr>
        <w:t>students with high quality studies abroad. Personal contacts with our foreign partners allowed fine-tuning of their offers as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well as our creating appropriate educational paths for students willing to study in other countries (learning the languages,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intercultural preparations).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Our other EU partners, with whom we have been working on LLP projects, include universities in Brest, Dresden, Dublin,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Granada, Santiago de Compostella, Salzburg, Tralee, Valencia and Vienna. Most of our partners are based in the EU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countries, but cooperation agreements have been also signed with universities in Vinnitsa (Ukraine), Tbilisi, Batumi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(Georgia) and others. We also prepare cooperation arrangements with institutions of higher education in China and India.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The main task of our university is preparing students for the needs of today's labour market. Therefore we pay great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attention to providing our students with good places of traineeships. Our partners include networks of best hotels in Greece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and Spain (for students of tourism and recreation), one of the best and the oldest health SPA in Central Europe in Teplice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(Czech Republic) and the first SPA in Slovakia in Rajecke Teplice (for students of medical sciences), Praeha Gruppe in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Germany (for students of cosmetology). As there is a surplus of trained nurses in our area, we started special courses for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students of nursing preparing them for work at hospitals in Germany. Our partner there, with whom we cooperate very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closely, is TUJA Zeitarbeit, voted one of the best German employers in 2012. In almost every case our representatives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visited the places of future internships and later visit our students at their workplaces. In case of TUJA we also visited our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graduates, who got permanent jobs at hospitals in Germany. In every case, with very few exceptions, we received very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positive opinions about the knowledge and skills of our students and graduates. At the same time these are occasions for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us to learn about necessary improvements of our teaching process. Every year representatives of almost all receiving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institutions visit our university and meet candidates for traineeships or employment.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As far as Erasmus programme for staff is concerned, we pay special attention to the development of young academic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teachers, doctors or those preparing their doctoral thesis. They are encouraged to present results of their research lecturing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at partner universities abroad (e.g. in Madrid, Prague, Nigde (Turkey) and Telemark (Norway)). We pay great attention to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common publications (as with universities in Madrid and Prague), as it is an important asset for those who only begin their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career in science. Such contacts often result in invitations to international conferences or in common organisation of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conferences and research (as in Prague, Plzen and Tartu (Estonia)). Administrative staff participates in trainings dealing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with organisation of the process of teaching and other operations of an institution of higher education, especially in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organisation of students' exchanges.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Our staff and students participate in numerous LLP projects,whose results are being implemented at our university. E.g.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LOLIPOP project (with the Dublin City University) resulted in implementation of the European Language Portfolio Online, e-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TALIA project (coordinated by the Coventry University) resulted in implementation of the blended learning course of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professional language for students of tourism, the multimedia course of languages for Erasmus incoming and outgoing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students is being implemented thanks to a KA2 "Languages" project being developed by, among others, universities in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Kaunas and Ceske Budejovice, with our Director for IC as the Polish coordinator. The LdV project "Team Coaching" (with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VHS Freyung-Grafenau and a university in Valencia) will help our students find their place in a company or start their own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business activity. With the Plzen University we are developing the Polish version of a Virtual Learning Environment platform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"ProAuthor", which is both efficient and easy to use by less computer-skilled staff, and which we intend to offer to all Polish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universities.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Although a great part of our staff participates in international projects, two units of our university are directly responsible for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their organisation and implementation: International Department and Lifelong Learning Department. Their operations are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supervised by Vice-Rector for Teaching and Research. The University Bursar is responsible for the financial operations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within the projects.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Each group working on a project consists of a coordinator, secretary, permanent staff and occasional co-workers. They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meet on regular basis, usually with the responsible Vice-Rector present. In case of a project meeting abroad, usually the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coordinator is accompanied by one of the members of the permanent staff. Piloting of a project and later its implementation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is organised and supervised by a Dean (in case of specialised projects) or by the Director for International Cooperation (in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case of projects encompassing all specialisations, esp. language projects).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An important part of our activities in the field stems from our membership in the Italy-based European Economic Group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"Ulixes". Together we prepare project proposals and develop projects dealing mainly with training the trainers. The results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are implemented by the trained trainers, who in turn organise trainings for other members of staff or for students (e.g. the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"Training Antennas" project).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In case of mobility project, a departmental coordinator is directly responsible for</w:t>
      </w:r>
      <w:r>
        <w:rPr>
          <w:rFonts w:ascii="Arial" w:hAnsi="Arial" w:cs="Arial"/>
          <w:sz w:val="18"/>
          <w:szCs w:val="18"/>
          <w:lang w:eastAsia="pl-PL"/>
        </w:rPr>
        <w:t xml:space="preserve"> actions within the department. </w:t>
      </w:r>
      <w:r w:rsidRPr="00FC75FF">
        <w:rPr>
          <w:rFonts w:ascii="Arial" w:hAnsi="Arial" w:cs="Arial"/>
          <w:sz w:val="18"/>
          <w:szCs w:val="18"/>
          <w:lang w:eastAsia="pl-PL"/>
        </w:rPr>
        <w:t>Sometimes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they are assisted by specialists on internships (esp. medical). Each department acts according to a set of rules, approved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by the Director for International Cooperation. Before mobility, every student must seek approval of a departmental qualifing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committee, headed by the Dean.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Participation in the Programme helps WSEiP in catering for the needs of students from one of the poorest regions of the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EU. Beside the system of scholarships, a chance of studying and training in a foreign country is a huge incentive for young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people, many of whom have never travelled abroad. Very positive opinions about our students - trainees, that we get every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year from foreign receiving institutions are often accompanied with advice on improvements of our teaching processes,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which we are eager to implement. Everyday contacts with local institutions, like Chamber of Commerce, Centre for Transfer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of Technology or Regional Tourist Organisation also result in making our study programmes compatible with the needs of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the local l</w:t>
      </w:r>
      <w:r>
        <w:rPr>
          <w:rFonts w:ascii="Arial" w:hAnsi="Arial" w:cs="Arial"/>
          <w:sz w:val="18"/>
          <w:szCs w:val="18"/>
          <w:lang w:eastAsia="pl-PL"/>
        </w:rPr>
        <w:t xml:space="preserve">abour market. The Career Office </w:t>
      </w:r>
      <w:r w:rsidRPr="00FC75FF">
        <w:rPr>
          <w:rFonts w:ascii="Arial" w:hAnsi="Arial" w:cs="Arial"/>
          <w:sz w:val="18"/>
          <w:szCs w:val="18"/>
          <w:lang w:eastAsia="pl-PL"/>
        </w:rPr>
        <w:t>observes the functioning of our graduates on the labour market and provides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important feedback on the labour market demand.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The university established permanent links with practically all secondary schools in the region. Meetings with their students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and staff serve the purpose of promoting the tertiary education and allow us to spread information about areas of study as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well as about the Erasmus programme. A free VLE platform was established, which allows any interested school to use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materials prepared by the university staff. Multimedia t</w:t>
      </w:r>
      <w:r>
        <w:rPr>
          <w:rFonts w:ascii="Arial" w:hAnsi="Arial" w:cs="Arial"/>
          <w:sz w:val="18"/>
          <w:szCs w:val="18"/>
          <w:lang w:eastAsia="pl-PL"/>
        </w:rPr>
        <w:t xml:space="preserve">eaching materials - products of </w:t>
      </w:r>
      <w:r w:rsidRPr="00FC75FF">
        <w:rPr>
          <w:rFonts w:ascii="Arial" w:hAnsi="Arial" w:cs="Arial"/>
          <w:sz w:val="18"/>
          <w:szCs w:val="18"/>
          <w:lang w:eastAsia="pl-PL"/>
        </w:rPr>
        <w:t>LLP projects - meet with the great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interest of school teachers.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Improving the quality and relevance of education in our schools is one of the most important results of participation in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international programmes. Thanks to national and EU-financed projects we were able to implement a complex system of e-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learning aimed at assisting our students in studies and in finding their place at the labour market (projects "e-Economics",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"Creator of Innovation", "Team Coaching", "Medical Tourism", several language projects, etc.). Cooperation with business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partners in Poland and abroad helps us to better prepare students for their future.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Also international research projects have a considerable impact on our institution. For example, a huge national research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project dealing with health SPAs (our region is one of the most important regions of Poland in this respect) not only involves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SPAs which provide Erasmus trainneships for our students, but also corresponds to a research project on the same subject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held by a group of our students in Tartu, with students of Estonian, Lithuanian, Czech and Greek universities.</w:t>
      </w:r>
    </w:p>
    <w:p w:rsidR="00990D5B" w:rsidRPr="00FC75FF" w:rsidRDefault="00990D5B" w:rsidP="00FC75F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FC75FF">
        <w:rPr>
          <w:rFonts w:ascii="Arial" w:hAnsi="Arial" w:cs="Arial"/>
          <w:sz w:val="18"/>
          <w:szCs w:val="18"/>
          <w:lang w:eastAsia="pl-PL"/>
        </w:rPr>
        <w:t>Our university actively participates in regional development programmes, starting in 1999 with our Tempus-Phare project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"Regional policy on underdeveloped areas" which had huge impact on our region. For young employees of local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governments this pre-accession project marked the beginning of careers, leading some of them to top positions in the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region. WSEiP is also a co-author of the Regional Innovation Strategy, many elements of which are the direct result of our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FC75FF">
        <w:rPr>
          <w:rFonts w:ascii="Arial" w:hAnsi="Arial" w:cs="Arial"/>
          <w:sz w:val="18"/>
          <w:szCs w:val="18"/>
          <w:lang w:eastAsia="pl-PL"/>
        </w:rPr>
        <w:t>experiences in LLP programmes, including Erasmus exchang</w:t>
      </w:r>
      <w:r>
        <w:rPr>
          <w:rFonts w:ascii="Arial" w:hAnsi="Arial" w:cs="Arial"/>
          <w:sz w:val="18"/>
          <w:szCs w:val="18"/>
          <w:lang w:eastAsia="pl-PL"/>
        </w:rPr>
        <w:t>es.</w:t>
      </w:r>
    </w:p>
    <w:p w:rsidR="00990D5B" w:rsidRDefault="00990D5B"/>
    <w:sectPr w:rsidR="00990D5B" w:rsidSect="00A0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5FF"/>
    <w:rsid w:val="003E0EB9"/>
    <w:rsid w:val="00990D5B"/>
    <w:rsid w:val="00A027C6"/>
    <w:rsid w:val="00A60D46"/>
    <w:rsid w:val="00BE4390"/>
    <w:rsid w:val="00DD730A"/>
    <w:rsid w:val="00E65D1A"/>
    <w:rsid w:val="00F97932"/>
    <w:rsid w:val="00FC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1357</Words>
  <Characters>8142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basis for the selection of partners are the similarities in programmes of study</dc:title>
  <dc:subject/>
  <dc:creator>Przemek</dc:creator>
  <cp:keywords/>
  <dc:description/>
  <cp:lastModifiedBy>WSEiP </cp:lastModifiedBy>
  <cp:revision>2</cp:revision>
  <dcterms:created xsi:type="dcterms:W3CDTF">2016-01-25T11:21:00Z</dcterms:created>
  <dcterms:modified xsi:type="dcterms:W3CDTF">2016-01-25T11:21:00Z</dcterms:modified>
</cp:coreProperties>
</file>